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E73EE4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  <w:r>
        <w:br/>
      </w:r>
      <w:r w:rsidR="00E73EE4">
        <w:t>по специальности</w:t>
      </w:r>
    </w:p>
    <w:p w:rsidR="00E73EE4" w:rsidRDefault="008B7C0C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09.02.06 </w:t>
      </w:r>
      <w:r w:rsidR="00E73EE4">
        <w:t>Сетевое и системное администрирование</w:t>
      </w:r>
    </w:p>
    <w:p w:rsidR="00922A68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6940DE">
        <w:t xml:space="preserve">по специальности </w:t>
      </w:r>
      <w:r w:rsidR="008B7C0C">
        <w:t xml:space="preserve"> 09.02.06 </w:t>
      </w:r>
      <w:r w:rsidR="006940DE">
        <w:t>«Сетевое и системное администрирование»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</w:t>
      </w:r>
      <w:r w:rsidRPr="00F45597">
        <w:rPr>
          <w:sz w:val="24"/>
          <w:szCs w:val="24"/>
        </w:rPr>
        <w:lastRenderedPageBreak/>
        <w:t xml:space="preserve">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 </w:t>
      </w:r>
      <w:r w:rsidR="00B409FD">
        <w:rPr>
          <w:sz w:val="24"/>
          <w:szCs w:val="24"/>
        </w:rPr>
        <w:t xml:space="preserve">по компетентности «Спасательные работы» </w:t>
      </w:r>
      <w:r w:rsidRPr="00F45597">
        <w:rPr>
          <w:sz w:val="24"/>
          <w:szCs w:val="24"/>
        </w:rPr>
        <w:t xml:space="preserve">и в течение </w:t>
      </w:r>
      <w:r w:rsidR="008827C6" w:rsidRPr="00F45597">
        <w:rPr>
          <w:sz w:val="24"/>
          <w:szCs w:val="24"/>
        </w:rPr>
        <w:t>7</w:t>
      </w:r>
      <w:r w:rsidRPr="00F45597">
        <w:rPr>
          <w:sz w:val="24"/>
          <w:szCs w:val="24"/>
        </w:rPr>
        <w:t xml:space="preserve"> лет </w:t>
      </w:r>
      <w:r w:rsidR="008827C6" w:rsidRPr="00F45597">
        <w:rPr>
          <w:sz w:val="24"/>
          <w:szCs w:val="24"/>
        </w:rPr>
        <w:t xml:space="preserve">занимает первое место в региональных чемпионатах.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Главное управление МЧС России по ЯО, ГБУ ЯО Пожарно-спасательная служба ЯО, ООО Красный маяк, 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СПК </w:t>
      </w:r>
      <w:proofErr w:type="gramStart"/>
      <w:r w:rsidRPr="00F45597">
        <w:rPr>
          <w:sz w:val="24"/>
          <w:szCs w:val="24"/>
        </w:rPr>
        <w:t xml:space="preserve">( </w:t>
      </w:r>
      <w:proofErr w:type="gramEnd"/>
      <w:r w:rsidRPr="00F45597">
        <w:rPr>
          <w:sz w:val="24"/>
          <w:szCs w:val="24"/>
        </w:rPr>
        <w:t xml:space="preserve">колхоз) Новый путь, ООО Аграрник, 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  <w:r w:rsidRPr="00F45597">
        <w:rPr>
          <w:sz w:val="24"/>
          <w:szCs w:val="24"/>
        </w:rPr>
        <w:t xml:space="preserve"> 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>по повышению качества подготовки рабочих кадров и специалистов</w:t>
      </w:r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 xml:space="preserve">лассов для ознакомления обучающихся школ с профессиями и специальностями колледжа.  </w:t>
      </w:r>
    </w:p>
    <w:p w:rsidR="00F45597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r w:rsidR="00F45597" w:rsidRPr="00F45597">
        <w:rPr>
          <w:sz w:val="24"/>
          <w:szCs w:val="24"/>
        </w:rPr>
        <w:t>жегодно на базе колледжа проходят областные олимпиады, традиционным стала междисциплинарная олимпиада по ОБЖ и физкультуре.</w:t>
      </w:r>
      <w:proofErr w:type="gramEnd"/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пожарный, водитель автомобиля категории «В»,»С», мастер сельскохозяйственного производства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lastRenderedPageBreak/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основных воспитательных мероприятий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 xml:space="preserve"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</w:t>
      </w:r>
      <w:r>
        <w:lastRenderedPageBreak/>
        <w:t>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деятельность кураторов и других педагогов вместе с обучающимися, их родителями, </w:t>
      </w:r>
      <w:r>
        <w:lastRenderedPageBreak/>
        <w:t>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lastRenderedPageBreak/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 xml:space="preserve"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</w:t>
      </w:r>
      <w:r>
        <w:lastRenderedPageBreak/>
        <w:t>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lastRenderedPageBreak/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Корола</w:t>
      </w:r>
      <w:proofErr w:type="gram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плюс»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Ярославская ГСХА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</w:t>
      </w:r>
      <w:r>
        <w:lastRenderedPageBreak/>
        <w:t xml:space="preserve">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lastRenderedPageBreak/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lastRenderedPageBreak/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8B7C0C" w:rsidRDefault="008B7C0C">
      <w:pPr>
        <w:pStyle w:val="50"/>
        <w:shd w:val="clear" w:color="auto" w:fill="auto"/>
        <w:spacing w:before="0" w:after="0" w:line="274" w:lineRule="exact"/>
        <w:jc w:val="center"/>
      </w:pPr>
      <w:r>
        <w:t>По специальности 09.02.06 «Сетевое и системное администрирование»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 xml:space="preserve">3-4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1-4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</w:t>
            </w:r>
            <w:r>
              <w:rPr>
                <w:rStyle w:val="24"/>
              </w:rPr>
              <w:lastRenderedPageBreak/>
              <w:t xml:space="preserve">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1-2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940DE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спасателя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73925">
              <w:rPr>
                <w:rFonts w:ascii="Times New Roman" w:hAnsi="Times New Roman" w:cs="Times New Roman"/>
              </w:rPr>
              <w:t>оветник по воспитанию, классный руководитель</w:t>
            </w:r>
            <w:r>
              <w:rPr>
                <w:rFonts w:ascii="Times New Roman" w:hAnsi="Times New Roman" w:cs="Times New Roman"/>
              </w:rPr>
              <w:t xml:space="preserve">, преподаватели </w:t>
            </w:r>
            <w:proofErr w:type="spellStart"/>
            <w:r>
              <w:rPr>
                <w:rFonts w:ascii="Times New Roman" w:hAnsi="Times New Roman" w:cs="Times New Roman"/>
              </w:rP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173925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lastRenderedPageBreak/>
              <w:t>14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DD09D9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Торжественный караул у мемориальной доски в честь погибших воинов, выполнявших интернациональный долг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Дню защитников Отечества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районной акции «Вахта памяти»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февраль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173925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27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28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34AB7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29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30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34AB7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31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</w:t>
            </w:r>
            <w:r>
              <w:rPr>
                <w:rStyle w:val="24"/>
              </w:rPr>
              <w:lastRenderedPageBreak/>
              <w:t xml:space="preserve">оформление кабинетов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стендов, 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УВР, советник 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Привлечение родителей к подготовке бесед, лекций и др. воспитательной </w:t>
            </w:r>
            <w:r>
              <w:lastRenderedPageBreak/>
              <w:t>направленности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lastRenderedPageBreak/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сбора актива 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 xml:space="preserve">Работа Совета профилактики безнадзорности и </w:t>
            </w:r>
            <w:r w:rsidRPr="004B52D9">
              <w:rPr>
                <w:rStyle w:val="29pt"/>
                <w:b w:val="0"/>
                <w:sz w:val="24"/>
                <w:szCs w:val="24"/>
              </w:rPr>
              <w:lastRenderedPageBreak/>
              <w:t>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lastRenderedPageBreak/>
              <w:t>1-4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 xml:space="preserve">Заместитель директора по УВР, советник директора по </w:t>
            </w:r>
            <w:r w:rsidRPr="0014025E">
              <w:rPr>
                <w:rFonts w:ascii="Times New Roman" w:hAnsi="Times New Roman" w:cs="Times New Roman"/>
              </w:rPr>
              <w:lastRenderedPageBreak/>
              <w:t>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предприятия по выбранной профессии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E4" w:rsidRDefault="00D231E4">
      <w:r>
        <w:separator/>
      </w:r>
    </w:p>
  </w:endnote>
  <w:endnote w:type="continuationSeparator" w:id="0">
    <w:p w:rsidR="00D231E4" w:rsidRDefault="00D2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E4" w:rsidRDefault="00E73E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E4" w:rsidRDefault="00E73E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C0C" w:rsidRPr="008B7C0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E73EE4" w:rsidRDefault="00E73E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C0C" w:rsidRPr="008B7C0C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E4" w:rsidRDefault="00E73E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E4" w:rsidRDefault="00E73E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E4" w:rsidRDefault="00E73E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E4" w:rsidRDefault="00E73E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E4" w:rsidRDefault="00D231E4"/>
  </w:footnote>
  <w:footnote w:type="continuationSeparator" w:id="0">
    <w:p w:rsidR="00D231E4" w:rsidRDefault="00D23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6FE2"/>
    <w:rsid w:val="001D62E3"/>
    <w:rsid w:val="001F425C"/>
    <w:rsid w:val="00323854"/>
    <w:rsid w:val="00343537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582C8F"/>
    <w:rsid w:val="005B152E"/>
    <w:rsid w:val="005C09F9"/>
    <w:rsid w:val="006207A5"/>
    <w:rsid w:val="00634AB7"/>
    <w:rsid w:val="00683504"/>
    <w:rsid w:val="006940DE"/>
    <w:rsid w:val="006D2261"/>
    <w:rsid w:val="006D531B"/>
    <w:rsid w:val="006E6135"/>
    <w:rsid w:val="006F0C57"/>
    <w:rsid w:val="006F2519"/>
    <w:rsid w:val="007125CF"/>
    <w:rsid w:val="007479CD"/>
    <w:rsid w:val="00764E61"/>
    <w:rsid w:val="00767512"/>
    <w:rsid w:val="0079062A"/>
    <w:rsid w:val="007B6792"/>
    <w:rsid w:val="007F547B"/>
    <w:rsid w:val="00811F15"/>
    <w:rsid w:val="00847A6E"/>
    <w:rsid w:val="00876398"/>
    <w:rsid w:val="008827C6"/>
    <w:rsid w:val="00891F3B"/>
    <w:rsid w:val="008B7C0C"/>
    <w:rsid w:val="008E2F4F"/>
    <w:rsid w:val="008F41DB"/>
    <w:rsid w:val="008F587E"/>
    <w:rsid w:val="00922A68"/>
    <w:rsid w:val="00926FA0"/>
    <w:rsid w:val="00990DE1"/>
    <w:rsid w:val="009C5FF4"/>
    <w:rsid w:val="00A6350D"/>
    <w:rsid w:val="00AB46E7"/>
    <w:rsid w:val="00B409FD"/>
    <w:rsid w:val="00B46FBE"/>
    <w:rsid w:val="00B76038"/>
    <w:rsid w:val="00C81D08"/>
    <w:rsid w:val="00CE43A5"/>
    <w:rsid w:val="00D01FFC"/>
    <w:rsid w:val="00D22F52"/>
    <w:rsid w:val="00D231E4"/>
    <w:rsid w:val="00DD09D9"/>
    <w:rsid w:val="00DD2DA0"/>
    <w:rsid w:val="00DE27AB"/>
    <w:rsid w:val="00E07E64"/>
    <w:rsid w:val="00E11D7E"/>
    <w:rsid w:val="00E5521E"/>
    <w:rsid w:val="00E73EE4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10550</Words>
  <Characters>60140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2023-10-30T09:23:00Z</cp:lastPrinted>
  <dcterms:created xsi:type="dcterms:W3CDTF">2023-12-06T11:04:00Z</dcterms:created>
  <dcterms:modified xsi:type="dcterms:W3CDTF">2023-12-12T06:53:00Z</dcterms:modified>
</cp:coreProperties>
</file>